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FC" w:rsidRDefault="003B76DC">
      <w:pPr>
        <w:pStyle w:val="Standard"/>
        <w:ind w:left="6936" w:firstLine="408"/>
        <w:rPr>
          <w:rFonts w:hint="eastAsia"/>
        </w:rPr>
      </w:pPr>
      <w:bookmarkStart w:id="0" w:name="_GoBack"/>
      <w:bookmarkEnd w:id="0"/>
      <w:r>
        <w:rPr>
          <w:rFonts w:ascii="Arial" w:hAnsi="Arial" w:cs="Tahoma"/>
          <w:sz w:val="20"/>
          <w:szCs w:val="20"/>
        </w:rPr>
        <w:t>załącznik nr 2b</w:t>
      </w:r>
    </w:p>
    <w:p w:rsidR="003269FC" w:rsidRDefault="003269FC">
      <w:pPr>
        <w:pStyle w:val="Standard"/>
        <w:rPr>
          <w:rFonts w:ascii="Arial" w:hAnsi="Arial" w:cs="Tahoma"/>
          <w:sz w:val="20"/>
          <w:szCs w:val="20"/>
        </w:rPr>
      </w:pPr>
    </w:p>
    <w:p w:rsidR="003269FC" w:rsidRDefault="003269FC">
      <w:pPr>
        <w:pStyle w:val="Standard"/>
        <w:jc w:val="center"/>
        <w:rPr>
          <w:rFonts w:ascii="Tahoma" w:hAnsi="Tahoma" w:cs="Tahoma"/>
          <w:u w:val="single"/>
        </w:rPr>
      </w:pPr>
    </w:p>
    <w:p w:rsidR="003269FC" w:rsidRDefault="003B76DC">
      <w:pPr>
        <w:pStyle w:val="Standard"/>
        <w:jc w:val="center"/>
        <w:rPr>
          <w:rFonts w:ascii="Arial" w:hAnsi="Arial" w:cs="Tahoma"/>
          <w:sz w:val="20"/>
          <w:szCs w:val="20"/>
          <w:u w:val="single"/>
        </w:rPr>
      </w:pPr>
      <w:r>
        <w:rPr>
          <w:rFonts w:ascii="Arial" w:hAnsi="Arial" w:cs="Tahoma"/>
          <w:sz w:val="20"/>
          <w:szCs w:val="20"/>
          <w:u w:val="single"/>
        </w:rPr>
        <w:t>ZESTAWIENIE PARAMETRÓW GRANICZNYCH</w:t>
      </w:r>
    </w:p>
    <w:p w:rsidR="003269FC" w:rsidRDefault="003269FC">
      <w:pPr>
        <w:pStyle w:val="Standard"/>
        <w:jc w:val="center"/>
        <w:rPr>
          <w:rFonts w:ascii="Arial" w:hAnsi="Arial" w:cs="Tahoma"/>
          <w:sz w:val="20"/>
          <w:szCs w:val="20"/>
          <w:u w:val="single"/>
        </w:rPr>
      </w:pPr>
    </w:p>
    <w:p w:rsidR="003269FC" w:rsidRDefault="003B76DC">
      <w:pPr>
        <w:pStyle w:val="Standard"/>
        <w:jc w:val="center"/>
        <w:rPr>
          <w:rFonts w:ascii="Arial" w:hAnsi="Arial" w:cs="Tahoma"/>
          <w:sz w:val="20"/>
          <w:szCs w:val="20"/>
          <w:u w:val="single"/>
        </w:rPr>
      </w:pPr>
      <w:r>
        <w:rPr>
          <w:rFonts w:ascii="Arial" w:hAnsi="Arial" w:cs="Tahoma"/>
          <w:sz w:val="20"/>
          <w:szCs w:val="20"/>
          <w:u w:val="single"/>
        </w:rPr>
        <w:t>Zadanie 5 - Dostawa odczynników do badań serologicznych metodą mikrokolumnową wraz z dzierżawą sprzętu</w:t>
      </w:r>
    </w:p>
    <w:p w:rsidR="003269FC" w:rsidRDefault="003269FC">
      <w:pPr>
        <w:pStyle w:val="Standard"/>
        <w:jc w:val="center"/>
        <w:rPr>
          <w:rFonts w:ascii="Arial" w:hAnsi="Arial" w:cs="Tahoma"/>
          <w:sz w:val="20"/>
          <w:szCs w:val="20"/>
          <w:u w:val="single"/>
        </w:rPr>
      </w:pPr>
    </w:p>
    <w:tbl>
      <w:tblPr>
        <w:tblW w:w="1000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7557"/>
        <w:gridCol w:w="1711"/>
      </w:tblGrid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Lp.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 xml:space="preserve">Wymagane parametry </w:t>
            </w:r>
            <w:r>
              <w:rPr>
                <w:rFonts w:ascii="Arial" w:hAnsi="Arial" w:cs="Tahoma"/>
                <w:sz w:val="20"/>
                <w:szCs w:val="20"/>
              </w:rPr>
              <w:t>(dot. odczynników)</w:t>
            </w:r>
          </w:p>
          <w:p w:rsidR="003269FC" w:rsidRDefault="003269FC">
            <w:pPr>
              <w:pStyle w:val="Standard"/>
              <w:rPr>
                <w:rFonts w:ascii="Arial" w:hAnsi="Arial" w:cs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>
              <w:rPr>
                <w:rFonts w:ascii="Arial" w:hAnsi="Arial" w:cs="Tahoma"/>
                <w:b/>
                <w:sz w:val="20"/>
                <w:szCs w:val="20"/>
              </w:rPr>
              <w:t>Potwierdzenie spełnienia wymagań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Zaoferowanie metody badawczej opartej na technologii aglutynacji krwinek czerwonych na mikrokolumnach w mikrometodzie żelowej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 xml:space="preserve">Krwinki wzorcowe o odpowiednim stężeniu, dostarczane w 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>formie gotowej do użycia – trzy lub cztery rodzaje krwinek wzorcowych grupy O do badania przeglądowego przeciwciał odpornościowych.</w:t>
            </w:r>
          </w:p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W zestawach krwinek wzorcowych jako minimum powinna być wyrażona ekspresja następujących antygenów:  C, C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w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, c, D, E,e, K, k,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 xml:space="preserve"> Fy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, Fy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b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, Jk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, Jk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b,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 xml:space="preserve"> S, s, M, N, P1, Le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, Le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b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.</w:t>
            </w:r>
          </w:p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W zestawach powinny występować krwinki o fenotypach: DCC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w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ee, DccEE, dccee.</w:t>
            </w:r>
          </w:p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Wymagana jest homozygotyczna ekspresja antygenów: Fy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, Fy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b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, Jk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, Jk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  <w:vertAlign w:val="superscript"/>
              </w:rPr>
              <w:t>b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 xml:space="preserve">, M, S, s. 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 xml:space="preserve">Termin ważności krwinek wzorcowych </w:t>
            </w:r>
            <w:r>
              <w:rPr>
                <w:rFonts w:ascii="Arial" w:hAnsi="Arial" w:cs="Tahoma"/>
                <w:sz w:val="20"/>
                <w:szCs w:val="20"/>
              </w:rPr>
              <w:t>nie mniejszy niż 5 t</w:t>
            </w:r>
            <w:r>
              <w:rPr>
                <w:rFonts w:ascii="Arial" w:hAnsi="Arial" w:cs="Tahoma"/>
                <w:sz w:val="20"/>
                <w:szCs w:val="20"/>
              </w:rPr>
              <w:t>ygodni przy zapewnieniu harmonogramu dostaw krwinek zapewniającego ciągłość pracy na ważnych krwinkach.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  <w:p w:rsidR="003269FC" w:rsidRDefault="003269F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3.</w:t>
            </w:r>
          </w:p>
        </w:tc>
        <w:tc>
          <w:tcPr>
            <w:tcW w:w="7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Odczynniki gotowe do użycia, oznakowane CE i IVD. Mikrokolumny wypełnione odpowiednimi do badania odczynnikami i żelem separującym, gotowe</w:t>
            </w:r>
            <w:r>
              <w:rPr>
                <w:rFonts w:ascii="Arial" w:hAnsi="Arial"/>
                <w:sz w:val="20"/>
                <w:szCs w:val="20"/>
              </w:rPr>
              <w:t xml:space="preserve"> do użycia. Materiały zużywalne w ilości adekwatnej do ilości wykonywanych badań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4.</w:t>
            </w:r>
          </w:p>
        </w:tc>
        <w:tc>
          <w:tcPr>
            <w:tcW w:w="7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Zestawy krwi kontrolnej do codziennej kontroli odczynników diagnostycznych i krwinek wzorcowych z  oznakowaniem CE, powinny składać się z dwóch próbek krwi:</w:t>
            </w:r>
          </w:p>
          <w:p w:rsidR="003269FC" w:rsidRDefault="003B76DC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-grupy A  i grupy B, jedna z nich RhD dodatnia, druga RhD ujemna</w:t>
            </w:r>
          </w:p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- lub próbki krwi grupy O i AB, z których jedna jest RhD dodatnia, druga RhD ujemna,  a w osoczu przynajmniej jednej z próbek  obecne są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słabe przeciwciała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wykrywane w pośrednim teście antygl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obulinowym (PTA), np. anty -D, anty – Fy</w:t>
            </w:r>
            <w:r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  <w:t xml:space="preserve">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o aktywności &lt; 0,05 IU/ml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5.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Zestawy materiałów kontrolnych do przeprowadzenia kwartalnej zewnątrzlaboratoryjnej kontroli jakości, potwierdzonej certyfikatem z możliwością wpisywania online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6.</w:t>
            </w:r>
          </w:p>
        </w:tc>
        <w:tc>
          <w:tcPr>
            <w:tcW w:w="7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 xml:space="preserve">Sukcesywna dostawa krwinek i odczynników zgodnie z harmonogramem dostaw na dany rok (dostarczonym wraz z pierwszą dostawą). </w:t>
            </w:r>
            <w:r>
              <w:rPr>
                <w:rFonts w:ascii="Arial" w:hAnsi="Arial"/>
                <w:sz w:val="20"/>
              </w:rPr>
              <w:t xml:space="preserve">Systematyczne dostawy krwinek, odczynników i kart, zgodnie z zamówieniami. Transport odczynników i krwinek do Zamawiającego odbywać </w:t>
            </w:r>
            <w:r>
              <w:rPr>
                <w:rFonts w:ascii="Arial" w:hAnsi="Arial"/>
                <w:sz w:val="20"/>
              </w:rPr>
              <w:t>się ma w warunkach zgodnych z zaleceniami producenta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7.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Wykonawca zapewni możliwość dostarczenia krwinek i odczynników poza harmonogramem, w wyjątkowych sytuacjach (cito!) w przypadku zdarzeń losowych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8.</w:t>
            </w:r>
          </w:p>
        </w:tc>
        <w:tc>
          <w:tcPr>
            <w:tcW w:w="7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Zawiesina krwinek czerwonych musi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 xml:space="preserve"> być zgodna z metodyką oferowanych badań.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9.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Termin ważności dostarczonych odczynników minimum 9 miesięcy od daty dostawy a dla krwinek 5 tygodni od chwili dostawy.</w:t>
            </w:r>
          </w:p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Odczynnik LISS ważny minimum 6 miesięcy od otwarcia opakowania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10.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 xml:space="preserve">W 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>celu zagwarantowania Zamawiającemu dobrej jakości oraz pełnej walidacji systemu wszystkie niezbędne do wykonania badania odczynniki, mikrokarty, krwinki od jednego producenta (</w:t>
            </w:r>
            <w:r>
              <w:rPr>
                <w:rFonts w:ascii="Arial" w:eastAsia="TimesNewRoman" w:hAnsi="Arial" w:cs="Tahoma"/>
                <w:b/>
                <w:bCs/>
                <w:sz w:val="20"/>
                <w:szCs w:val="20"/>
              </w:rPr>
              <w:t>z wyjątkiem kontroli zewnętrznej).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11.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Przechowywanie mikrokart w temp</w:t>
            </w: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eraturze pokojowej (18-25 st.C).</w:t>
            </w:r>
          </w:p>
          <w:p w:rsidR="003269FC" w:rsidRDefault="003B76DC">
            <w:pPr>
              <w:pStyle w:val="Standard"/>
              <w:rPr>
                <w:rFonts w:ascii="Arial" w:eastAsia="TimesNewRoman" w:hAnsi="Arial" w:cs="Tahoma"/>
                <w:color w:val="000000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color w:val="000000"/>
                <w:sz w:val="20"/>
                <w:szCs w:val="20"/>
              </w:rPr>
              <w:t>Zamawiający dopuszcza przechowywanie mikrokart w innej temperaturze, jeśli Wykonawca zapewni urządzenie chłodnicze spełniające wymagania niezbędne do przechowywania mikrokart w danej temperaturze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12.</w:t>
            </w:r>
          </w:p>
        </w:tc>
        <w:tc>
          <w:tcPr>
            <w:tcW w:w="7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 xml:space="preserve">Gwarancja 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>wykorzystania wszystkich mikrokolumn w karcie po ich otwarciu.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13.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 xml:space="preserve">Każde jednostkowe opakowanie opisane: nazwa, seria, termin ważności. Zamawiający </w:t>
            </w:r>
            <w:r>
              <w:rPr>
                <w:rFonts w:ascii="Arial" w:eastAsia="Times New Roman" w:hAnsi="Arial" w:cs="Lucida Sans Unicode"/>
                <w:sz w:val="20"/>
                <w:szCs w:val="20"/>
                <w:lang w:eastAsia="pl-PL"/>
              </w:rPr>
              <w:t>dopuszcza  możliwość zaokrąglenia oferowanych odczynników do pełnych opakowań handlowych w górę.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</w:t>
            </w:r>
            <w:r>
              <w:rPr>
                <w:rFonts w:ascii="Arial" w:hAnsi="Arial" w:cs="Tahoma"/>
                <w:sz w:val="20"/>
                <w:szCs w:val="20"/>
              </w:rPr>
              <w:t>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14.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eastAsia="TimesNewRoman" w:hAnsi="Arial" w:cs="Tahoma"/>
                <w:b w:val="0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b w:val="0"/>
                <w:sz w:val="20"/>
                <w:szCs w:val="20"/>
              </w:rPr>
              <w:t>Wykonawca przeprowadzi u Zamawiającego praktyczne, bezpłatne szkolenie całego personelu w ciągu 2 -3 tygodni od podpisania umowy.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</w:tbl>
    <w:p w:rsidR="003269FC" w:rsidRDefault="003269FC">
      <w:pPr>
        <w:pStyle w:val="Standard"/>
        <w:rPr>
          <w:rFonts w:ascii="Arial" w:hAnsi="Arial" w:cs="Tahoma"/>
          <w:i/>
          <w:sz w:val="20"/>
          <w:szCs w:val="20"/>
        </w:rPr>
      </w:pPr>
    </w:p>
    <w:tbl>
      <w:tblPr>
        <w:tblW w:w="1000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5"/>
        <w:gridCol w:w="7617"/>
        <w:gridCol w:w="1711"/>
      </w:tblGrid>
      <w:tr w:rsidR="003269FC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Wymagane parametry (dot. sprzętu)</w:t>
            </w:r>
          </w:p>
          <w:p w:rsidR="003269FC" w:rsidRDefault="003269FC">
            <w:pPr>
              <w:pStyle w:val="Standard"/>
              <w:rPr>
                <w:rFonts w:ascii="Arial" w:hAnsi="Arial" w:cs="Tahoma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b/>
                <w:sz w:val="20"/>
                <w:szCs w:val="20"/>
              </w:rPr>
            </w:pPr>
            <w:r>
              <w:rPr>
                <w:rFonts w:ascii="Arial" w:hAnsi="Arial" w:cs="Tahoma"/>
                <w:b/>
                <w:sz w:val="20"/>
                <w:szCs w:val="20"/>
              </w:rPr>
              <w:t>Potwierdzenie spełnienia wymagań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15.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 xml:space="preserve">Zaoferowanie 2 sztuk 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>wirówek do wirowania mikrokart – z wyjmowanym rotorem w celu ułatwienia dezynfekcji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16.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 xml:space="preserve">Zoaferowanie 2 sztuk incubatora kart. Inkubator posiadający dwa bloki grzewcze z niezależnym pomiarem czasu, ma zapewniać możliwość dokładania kart do 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>inkubacji bez wpływu na parametry inkubacji ( temperatura). Inkubator na minimum 10 miejsc na karty w inkubatorze.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17.</w:t>
            </w:r>
          </w:p>
        </w:tc>
        <w:tc>
          <w:tcPr>
            <w:tcW w:w="7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Zaoferowanie 3 szt. pipet automatycznych (elektroniczne) dedykowanych do systemu z powtarzalnym dozowaniem i z wyrzutnikiem.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</w:t>
            </w:r>
            <w:r>
              <w:rPr>
                <w:rFonts w:ascii="Arial" w:hAnsi="Arial" w:cs="Tahoma"/>
                <w:sz w:val="20"/>
                <w:szCs w:val="20"/>
              </w:rPr>
              <w:t>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18.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Zaoferowanie czytnika mikrokart z interpretacją wynikow i przepływem danych do sieci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19.</w:t>
            </w:r>
          </w:p>
        </w:tc>
        <w:tc>
          <w:tcPr>
            <w:tcW w:w="7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Podłączenie czytnika mikrokart</w:t>
            </w:r>
            <w:r>
              <w:rPr>
                <w:rFonts w:ascii="Arial" w:eastAsia="TimesNewRoman" w:hAnsi="Arial" w:cs="Arial"/>
                <w:sz w:val="20"/>
                <w:szCs w:val="20"/>
              </w:rPr>
              <w:t xml:space="preserve"> do istniejącego systemu laboratoryjnego – program SOLAB firmy Kamsoft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20.</w:t>
            </w:r>
          </w:p>
        </w:tc>
        <w:tc>
          <w:tcPr>
            <w:tcW w:w="7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 xml:space="preserve">Zaoferowanie statywów roboczych, 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 xml:space="preserve">w których </w:t>
            </w:r>
            <w:r>
              <w:rPr>
                <w:rFonts w:ascii="Arial" w:eastAsia="Times New Roman" w:hAnsi="Arial" w:cs="Lucida Sans Unicode"/>
                <w:sz w:val="20"/>
                <w:szCs w:val="20"/>
                <w:lang w:eastAsia="pl-PL"/>
              </w:rPr>
              <w:t>umieszcza się i przechowuje mikrokarty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 xml:space="preserve"> - 2 szt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21.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Bezpłatny serwis gwarancyjny obejmujący cały okres trwania umowy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22.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 xml:space="preserve">Okresowe bezpłatne przeglądy techniczne sprzętu, wykonywanie walidacji zgodnie z wymogami określonymi 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>przepisami ( min. jeden raz w roku). W czasie trwania dzierżawy sprzętu, koszty wszelkich napraw, w tym dojazd, robocizna pokrywa Wykonawca.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23.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W przypadku awarii sprzętu maksymalny czas oczekiwania na dojazd serwisu może wynosić 24 godziny w dn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>i robocze. W przypadku braku możliwości usunięcia usterki w podanym czasie Wykonawca bezpłatnie zaopatrzy Zamawiającego w ciągu max. 24 godzin w takie samo urządzenie zastępcze, aż do czasu usunięcia usterki.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24.</w:t>
            </w: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ascii="Arial" w:eastAsia="TimesNewRoman" w:hAnsi="Arial" w:cs="Tahoma"/>
                <w:sz w:val="20"/>
                <w:szCs w:val="20"/>
              </w:rPr>
            </w:pPr>
            <w:r>
              <w:rPr>
                <w:rFonts w:ascii="Arial" w:eastAsia="TimesNewRoman" w:hAnsi="Arial" w:cs="Tahoma"/>
                <w:sz w:val="20"/>
                <w:szCs w:val="20"/>
              </w:rPr>
              <w:t>Dostarczenie dokładnie opracowany</w:t>
            </w:r>
            <w:r>
              <w:rPr>
                <w:rFonts w:ascii="Arial" w:eastAsia="TimesNewRoman" w:hAnsi="Arial" w:cs="Tahoma"/>
                <w:sz w:val="20"/>
                <w:szCs w:val="20"/>
              </w:rPr>
              <w:t>ch zaleceń producenta oraz instrukcji dostarczonego sprzętu w języku polskim.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25.</w:t>
            </w: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tabs>
                <w:tab w:val="left" w:pos="379"/>
              </w:tabs>
              <w:autoSpaceDE w:val="0"/>
              <w:jc w:val="both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 xml:space="preserve">Nie ujęcie jakiegokolwiek elementu niezbędnego do wykonywania badań, a nie ujętego przez Wykonawcę skutkować będzie dostarczaniem przez cały okres trwania umowy </w:t>
            </w:r>
            <w:r>
              <w:rPr>
                <w:rFonts w:ascii="Arial" w:hAnsi="Arial" w:cs="Tahoma"/>
                <w:sz w:val="20"/>
                <w:szCs w:val="20"/>
              </w:rPr>
              <w:t>nieodpłatnie.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26.</w:t>
            </w: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tabs>
                <w:tab w:val="left" w:pos="379"/>
              </w:tabs>
              <w:autoSpaceDE w:val="0"/>
              <w:jc w:val="both"/>
              <w:rPr>
                <w:rFonts w:hint="eastAsia"/>
              </w:rPr>
            </w:pPr>
            <w:r>
              <w:rPr>
                <w:rFonts w:ascii="Arial" w:hAnsi="Arial" w:cs="Tahoma"/>
                <w:sz w:val="20"/>
                <w:szCs w:val="20"/>
              </w:rPr>
              <w:t>Zamawiający zgłasza awarie urządzenia w dni robocze w godzinach 8:00-20:00 telefonicznie pod nr tel. …………. (</w:t>
            </w:r>
            <w:r>
              <w:rPr>
                <w:rFonts w:ascii="Arial" w:hAnsi="Arial" w:cs="Tahoma"/>
                <w:b/>
                <w:sz w:val="20"/>
                <w:szCs w:val="20"/>
              </w:rPr>
              <w:t>proszę wpisać nr telefonu</w:t>
            </w:r>
            <w:r>
              <w:rPr>
                <w:rFonts w:ascii="Arial" w:hAnsi="Arial" w:cs="Tahoma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27.</w:t>
            </w: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Tahoma"/>
                <w:spacing w:val="-1"/>
                <w:sz w:val="20"/>
                <w:szCs w:val="20"/>
              </w:rPr>
              <w:t xml:space="preserve">Czas trwania gwarancji Urządzenia jest zgodny z gwarancją producenta i określa </w:t>
            </w:r>
            <w:r>
              <w:rPr>
                <w:rFonts w:ascii="Arial" w:hAnsi="Arial" w:cs="Tahoma"/>
                <w:spacing w:val="-1"/>
                <w:sz w:val="20"/>
                <w:szCs w:val="20"/>
              </w:rPr>
              <w:t xml:space="preserve">go  </w:t>
            </w:r>
            <w:r>
              <w:rPr>
                <w:rFonts w:ascii="Arial" w:hAnsi="Arial" w:cs="Tahoma"/>
                <w:sz w:val="20"/>
                <w:szCs w:val="20"/>
              </w:rPr>
              <w:t>karta gwarancyjna, z tym że nie może być krótszy od okresu, na jaki strony zawarły umowę.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28.</w:t>
            </w: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Tahoma"/>
                <w:spacing w:val="-1"/>
                <w:sz w:val="20"/>
                <w:szCs w:val="20"/>
              </w:rPr>
              <w:t xml:space="preserve">Celem usług serwisowych Wydzierżawiającego jest zapewnienie stałej gotowości do </w:t>
            </w:r>
            <w:r>
              <w:rPr>
                <w:rFonts w:ascii="Arial" w:hAnsi="Arial" w:cs="Tahoma"/>
                <w:sz w:val="20"/>
                <w:szCs w:val="20"/>
              </w:rPr>
              <w:t>eksploatacji i sprawnego działania urządzenia.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  <w:tr w:rsidR="003269F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  <w:r>
              <w:rPr>
                <w:rFonts w:ascii="Arial" w:hAnsi="Arial" w:cs="Tahoma"/>
                <w:b w:val="0"/>
                <w:sz w:val="20"/>
                <w:szCs w:val="20"/>
              </w:rPr>
              <w:t>29.</w:t>
            </w:r>
          </w:p>
          <w:p w:rsidR="003269FC" w:rsidRDefault="003269FC">
            <w:pPr>
              <w:pStyle w:val="Nagwek1"/>
              <w:jc w:val="both"/>
              <w:rPr>
                <w:rFonts w:ascii="Arial" w:hAnsi="Arial" w:cs="Tahoma"/>
                <w:b w:val="0"/>
                <w:sz w:val="20"/>
                <w:szCs w:val="20"/>
              </w:rPr>
            </w:pPr>
          </w:p>
        </w:tc>
        <w:tc>
          <w:tcPr>
            <w:tcW w:w="7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9FC" w:rsidRDefault="003B76DC">
            <w:pPr>
              <w:pStyle w:val="Standard"/>
              <w:tabs>
                <w:tab w:val="left" w:pos="379"/>
              </w:tabs>
              <w:autoSpaceDE w:val="0"/>
              <w:jc w:val="both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 xml:space="preserve">Do </w:t>
            </w:r>
            <w:r>
              <w:rPr>
                <w:rFonts w:ascii="Arial" w:hAnsi="Arial" w:cs="Tahoma"/>
                <w:sz w:val="20"/>
                <w:szCs w:val="20"/>
              </w:rPr>
              <w:t>obowiązków Wydzierżawiającego w zakresie usług serwisowych należy w szczególności:</w:t>
            </w:r>
          </w:p>
          <w:p w:rsidR="003269FC" w:rsidRDefault="003B76DC">
            <w:pPr>
              <w:pStyle w:val="Standard"/>
              <w:jc w:val="both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1. naprawa awarii powstałej wskutek normalnej eksploatacji Urządzenia lub awarii powstałej z innych powodów, za które nie odpowiada Zamawiający,</w:t>
            </w:r>
          </w:p>
          <w:p w:rsidR="003269FC" w:rsidRDefault="003B76DC">
            <w:pPr>
              <w:pStyle w:val="Standard"/>
              <w:jc w:val="both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 xml:space="preserve">2. okresowe konserwacje i </w:t>
            </w:r>
            <w:r>
              <w:rPr>
                <w:rFonts w:ascii="Arial" w:hAnsi="Arial" w:cs="Tahoma"/>
                <w:sz w:val="20"/>
                <w:szCs w:val="20"/>
              </w:rPr>
              <w:t>przeglądy techniczne zalecane przez producenta,</w:t>
            </w:r>
          </w:p>
          <w:p w:rsidR="003269FC" w:rsidRDefault="003B76DC">
            <w:pPr>
              <w:pStyle w:val="Standard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3. przeszkolenie pracowników Zamawiającego uprawnionych do obsługi Urządzenia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69FC" w:rsidRDefault="003B76DC">
            <w:pPr>
              <w:pStyle w:val="Standard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TAK/NIE*</w:t>
            </w:r>
          </w:p>
        </w:tc>
      </w:tr>
    </w:tbl>
    <w:p w:rsidR="003269FC" w:rsidRDefault="003269FC">
      <w:pPr>
        <w:pStyle w:val="Standard"/>
        <w:rPr>
          <w:rFonts w:ascii="Arial" w:hAnsi="Arial" w:cs="Tahoma"/>
          <w:i/>
          <w:sz w:val="20"/>
          <w:szCs w:val="20"/>
        </w:rPr>
      </w:pPr>
    </w:p>
    <w:p w:rsidR="003269FC" w:rsidRDefault="003269FC">
      <w:pPr>
        <w:pStyle w:val="Standard"/>
        <w:rPr>
          <w:rFonts w:ascii="Arial" w:eastAsia="Tahoma" w:hAnsi="Arial" w:cs="Tahoma"/>
          <w:sz w:val="20"/>
          <w:szCs w:val="20"/>
        </w:rPr>
      </w:pPr>
    </w:p>
    <w:p w:rsidR="003269FC" w:rsidRDefault="003B76DC">
      <w:pPr>
        <w:pStyle w:val="BodySingle"/>
        <w:widowControl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 Wpisać Tak lub Nie. Oferty nie spełniające warunków granicznych zostaną odrzucone</w:t>
      </w:r>
    </w:p>
    <w:p w:rsidR="003269FC" w:rsidRDefault="003269FC">
      <w:pPr>
        <w:rPr>
          <w:rFonts w:ascii="Tahoma" w:hAnsi="Tahoma" w:cs="Tahoma"/>
          <w:i/>
          <w:sz w:val="20"/>
          <w:szCs w:val="20"/>
        </w:rPr>
      </w:pPr>
    </w:p>
    <w:p w:rsidR="003269FC" w:rsidRDefault="003B76DC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hint="eastAsia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:rsidR="003269FC" w:rsidRDefault="003B76DC">
      <w:pPr>
        <w:ind w:left="5529"/>
        <w:jc w:val="center"/>
        <w:rPr>
          <w:rFonts w:hint="eastAsia"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podpis osoby </w:t>
      </w:r>
      <w:r>
        <w:rPr>
          <w:sz w:val="22"/>
          <w:szCs w:val="22"/>
          <w:vertAlign w:val="superscript"/>
        </w:rPr>
        <w:t>uprawnionej do składania oświadczeń woli w imieniu Wykonawcy</w:t>
      </w:r>
    </w:p>
    <w:p w:rsidR="003269FC" w:rsidRDefault="003269FC">
      <w:pPr>
        <w:pStyle w:val="BodySingle"/>
        <w:widowControl/>
        <w:rPr>
          <w:rFonts w:ascii="Arial" w:hAnsi="Arial" w:cs="Arial"/>
          <w:b/>
          <w:bCs/>
          <w:sz w:val="20"/>
        </w:rPr>
      </w:pPr>
    </w:p>
    <w:p w:rsidR="003269FC" w:rsidRDefault="003269FC">
      <w:pPr>
        <w:pStyle w:val="Standard"/>
        <w:rPr>
          <w:rFonts w:ascii="Arial" w:hAnsi="Arial" w:cs="Tahoma"/>
          <w:sz w:val="20"/>
          <w:szCs w:val="20"/>
        </w:rPr>
      </w:pPr>
    </w:p>
    <w:p w:rsidR="003269FC" w:rsidRDefault="003269FC">
      <w:pPr>
        <w:pStyle w:val="Standard"/>
        <w:rPr>
          <w:rFonts w:ascii="Arial" w:hAnsi="Arial" w:cs="Tahoma"/>
          <w:sz w:val="20"/>
          <w:szCs w:val="20"/>
        </w:rPr>
      </w:pPr>
    </w:p>
    <w:p w:rsidR="003269FC" w:rsidRDefault="003269FC">
      <w:pPr>
        <w:pStyle w:val="Standard"/>
        <w:rPr>
          <w:rFonts w:ascii="Arial" w:hAnsi="Arial" w:cs="Tahoma"/>
          <w:sz w:val="20"/>
          <w:szCs w:val="20"/>
        </w:rPr>
      </w:pPr>
    </w:p>
    <w:p w:rsidR="003269FC" w:rsidRDefault="003269FC">
      <w:pPr>
        <w:pStyle w:val="Standard"/>
        <w:rPr>
          <w:rFonts w:ascii="Tahoma" w:hAnsi="Tahoma" w:cs="Tahoma"/>
        </w:rPr>
      </w:pPr>
    </w:p>
    <w:p w:rsidR="003269FC" w:rsidRDefault="003269FC">
      <w:pPr>
        <w:pStyle w:val="Standard"/>
        <w:rPr>
          <w:rFonts w:ascii="Tahoma" w:hAnsi="Tahoma" w:cs="Tahoma"/>
        </w:rPr>
      </w:pPr>
    </w:p>
    <w:p w:rsidR="003269FC" w:rsidRDefault="003269FC">
      <w:pPr>
        <w:pStyle w:val="Standard"/>
        <w:rPr>
          <w:rFonts w:ascii="Tahoma" w:hAnsi="Tahoma" w:cs="Tahoma"/>
        </w:rPr>
      </w:pPr>
    </w:p>
    <w:p w:rsidR="003269FC" w:rsidRDefault="003269FC">
      <w:pPr>
        <w:pStyle w:val="Standard"/>
        <w:rPr>
          <w:rFonts w:hint="eastAsia"/>
        </w:rPr>
      </w:pPr>
    </w:p>
    <w:sectPr w:rsidR="003269F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76D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B76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76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B76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2C74"/>
    <w:multiLevelType w:val="multilevel"/>
    <w:tmpl w:val="2764A9A0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77A83"/>
    <w:multiLevelType w:val="multilevel"/>
    <w:tmpl w:val="9B5E016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A099C"/>
    <w:multiLevelType w:val="multilevel"/>
    <w:tmpl w:val="CF46537C"/>
    <w:styleLink w:val="WW8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443FB"/>
    <w:multiLevelType w:val="multilevel"/>
    <w:tmpl w:val="7CC4ED02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F3B7A"/>
    <w:multiLevelType w:val="multilevel"/>
    <w:tmpl w:val="E564B09A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717A"/>
    <w:multiLevelType w:val="multilevel"/>
    <w:tmpl w:val="3EF80E4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15AE9"/>
    <w:multiLevelType w:val="multilevel"/>
    <w:tmpl w:val="F252E020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7C0F14DE"/>
    <w:multiLevelType w:val="multilevel"/>
    <w:tmpl w:val="974E0E3E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imesNew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11F5"/>
    <w:multiLevelType w:val="multilevel"/>
    <w:tmpl w:val="3D7E9AB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69FC"/>
    <w:rsid w:val="003269FC"/>
    <w:rsid w:val="003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1351E-D3CA-4673-92B2-00053529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Standard"/>
  </w:style>
  <w:style w:type="paragraph" w:styleId="NormalnyWeb">
    <w:name w:val="Normal (Web)"/>
    <w:basedOn w:val="Standard"/>
    <w:pPr>
      <w:spacing w:before="100" w:after="100"/>
    </w:pPr>
    <w:rPr>
      <w:lang w:val="en-US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Znak">
    <w:name w:val="Znak"/>
    <w:basedOn w:val="Standard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Numerstrony">
    <w:name w:val="page number"/>
    <w:basedOn w:val="Domylnaczcionkaakapitu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rFonts w:ascii="Tahoma" w:eastAsia="TimesNewRoman" w:hAnsi="Tahoma" w:cs="Tahoma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ingdings" w:eastAsia="Wingdings" w:hAnsi="Wingdings" w:cs="Wingdings"/>
      <w:color w:val="000000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NumberingSymbols">
    <w:name w:val="Numbering Symbols"/>
  </w:style>
  <w:style w:type="paragraph" w:customStyle="1" w:styleId="BodySingle">
    <w:name w:val="Body Single"/>
    <w:basedOn w:val="Normalny"/>
    <w:pPr>
      <w:autoSpaceDE w:val="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KZP</dc:creator>
  <cp:lastModifiedBy>KZP</cp:lastModifiedBy>
  <cp:revision>2</cp:revision>
  <cp:lastPrinted>2020-02-23T11:07:00Z</cp:lastPrinted>
  <dcterms:created xsi:type="dcterms:W3CDTF">2020-03-12T11:47:00Z</dcterms:created>
  <dcterms:modified xsi:type="dcterms:W3CDTF">2020-03-12T11:47:00Z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